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Default="00DC6CFE" w:rsidP="008316A9">
      <w:r w:rsidRPr="00DC6CF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align>top</wp:align>
            </wp:positionV>
            <wp:extent cx="8652510" cy="6045200"/>
            <wp:effectExtent l="19050" t="0" r="1524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316A9">
        <w:br w:type="textWrapping" w:clear="all"/>
      </w:r>
    </w:p>
    <w:sectPr w:rsidR="00EB1DA6" w:rsidSect="00DC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09" w:rsidRDefault="00883E09" w:rsidP="00883E09">
      <w:pPr>
        <w:spacing w:line="240" w:lineRule="auto"/>
      </w:pPr>
      <w:r>
        <w:separator/>
      </w:r>
    </w:p>
  </w:endnote>
  <w:endnote w:type="continuationSeparator" w:id="0">
    <w:p w:rsidR="00883E09" w:rsidRDefault="00883E09" w:rsidP="00883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CD" w:rsidRDefault="00E51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9" w:rsidRPr="00883E09" w:rsidRDefault="00E510CD" w:rsidP="00883E09">
    <w:pPr>
      <w:pStyle w:val="Footer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October </w:t>
    </w:r>
    <w:r w:rsidR="00883E09" w:rsidRPr="00883E09">
      <w:rPr>
        <w:rFonts w:ascii="Arial" w:hAnsi="Arial" w:cs="Arial"/>
        <w:i/>
        <w:sz w:val="16"/>
        <w:szCs w:val="16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CD" w:rsidRDefault="00E51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09" w:rsidRDefault="00883E09" w:rsidP="00883E09">
      <w:pPr>
        <w:spacing w:line="240" w:lineRule="auto"/>
      </w:pPr>
      <w:r>
        <w:separator/>
      </w:r>
    </w:p>
  </w:footnote>
  <w:footnote w:type="continuationSeparator" w:id="0">
    <w:p w:rsidR="00883E09" w:rsidRDefault="00883E09" w:rsidP="00883E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CD" w:rsidRDefault="00E51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9" w:rsidRPr="00E510CD" w:rsidRDefault="00E510CD" w:rsidP="00E510CD">
    <w:pPr>
      <w:pStyle w:val="Header"/>
      <w:tabs>
        <w:tab w:val="left" w:pos="1350"/>
      </w:tabs>
      <w:ind w:left="1350" w:hanging="1350"/>
      <w:rPr>
        <w:b/>
        <w:sz w:val="24"/>
        <w:szCs w:val="24"/>
      </w:rPr>
    </w:pPr>
    <w:r w:rsidRPr="00E510CD">
      <w:rPr>
        <w:rFonts w:ascii="Arial" w:hAnsi="Arial" w:cs="Arial"/>
        <w:b/>
        <w:sz w:val="24"/>
        <w:szCs w:val="24"/>
      </w:rPr>
      <w:t>Figure 3.</w:t>
    </w:r>
    <w:r>
      <w:rPr>
        <w:rFonts w:ascii="Arial" w:hAnsi="Arial" w:cs="Arial"/>
        <w:b/>
        <w:sz w:val="24"/>
        <w:szCs w:val="24"/>
      </w:rPr>
      <w:tab/>
      <w:t>Minimum Acceptable Flow Range Graph.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CD" w:rsidRDefault="00E510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FE"/>
    <w:rsid w:val="001A03C6"/>
    <w:rsid w:val="00263F83"/>
    <w:rsid w:val="00350CE8"/>
    <w:rsid w:val="00566FA2"/>
    <w:rsid w:val="005915F4"/>
    <w:rsid w:val="006157E6"/>
    <w:rsid w:val="006628B6"/>
    <w:rsid w:val="008316A9"/>
    <w:rsid w:val="00873CF5"/>
    <w:rsid w:val="00883E09"/>
    <w:rsid w:val="00930159"/>
    <w:rsid w:val="00BE17B8"/>
    <w:rsid w:val="00DC6CFE"/>
    <w:rsid w:val="00E510CD"/>
    <w:rsid w:val="00EB1DA6"/>
    <w:rsid w:val="00F172CD"/>
    <w:rsid w:val="00F25595"/>
    <w:rsid w:val="00FE63BA"/>
    <w:rsid w:val="00FE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09"/>
  </w:style>
  <w:style w:type="paragraph" w:styleId="Footer">
    <w:name w:val="footer"/>
    <w:basedOn w:val="Normal"/>
    <w:link w:val="FooterChar"/>
    <w:uiPriority w:val="99"/>
    <w:semiHidden/>
    <w:unhideWhenUsed/>
    <w:rsid w:val="00883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CWA\2011\WW%20FG\RRWWFS%20Data%20Flow%20Pref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2000"/>
            </a:pPr>
            <a:r>
              <a:rPr lang="en-US" sz="2000" baseline="0"/>
              <a:t>  Minimum Acceptable Flow Range</a:t>
            </a:r>
            <a:endParaRPr lang="en-US" sz="2000"/>
          </a:p>
        </c:rich>
      </c:tx>
      <c:layout>
        <c:manualLayout>
          <c:xMode val="edge"/>
          <c:yMode val="edge"/>
          <c:x val="0.28437993951562462"/>
          <c:y val="2.3676915454478909E-2"/>
        </c:manualLayout>
      </c:layout>
      <c:overlay val="1"/>
      <c:spPr>
        <a:noFill/>
        <a:ln>
          <a:noFill/>
        </a:ln>
      </c:spPr>
    </c:title>
    <c:plotArea>
      <c:layout>
        <c:manualLayout>
          <c:layoutTarget val="inner"/>
          <c:xMode val="edge"/>
          <c:yMode val="edge"/>
          <c:x val="0.10505425593267158"/>
          <c:y val="8.4617796669221687E-2"/>
          <c:w val="0.84754073314422662"/>
          <c:h val="0.77398340815074962"/>
        </c:manualLayout>
      </c:layout>
      <c:scatterChart>
        <c:scatterStyle val="lineMarker"/>
        <c:ser>
          <c:idx val="0"/>
          <c:order val="0"/>
          <c:tx>
            <c:strRef>
              <c:f>'Range Graph'!$D$5</c:f>
              <c:strCache>
                <c:ptCount val="1"/>
                <c:pt idx="0">
                  <c:v>Average Minimum Acceptable Flow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plus>
              <c:numRef>
                <c:f>'Range Graph'!$H$20:$H$28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184</c:v>
                  </c:pt>
                  <c:pt idx="2">
                    <c:v>197</c:v>
                  </c:pt>
                  <c:pt idx="3">
                    <c:v>60</c:v>
                  </c:pt>
                  <c:pt idx="4">
                    <c:v>10</c:v>
                  </c:pt>
                  <c:pt idx="5">
                    <c:v>90</c:v>
                  </c:pt>
                  <c:pt idx="6">
                    <c:v>191</c:v>
                  </c:pt>
                  <c:pt idx="7">
                    <c:v>0</c:v>
                  </c:pt>
                  <c:pt idx="8">
                    <c:v>516</c:v>
                  </c:pt>
                </c:numCache>
              </c:numRef>
            </c:plus>
            <c:minus>
              <c:numRef>
                <c:f>'Range Graph'!$G$20:$G$28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166</c:v>
                  </c:pt>
                  <c:pt idx="2">
                    <c:v>203</c:v>
                  </c:pt>
                  <c:pt idx="3">
                    <c:v>190</c:v>
                  </c:pt>
                  <c:pt idx="4">
                    <c:v>10</c:v>
                  </c:pt>
                  <c:pt idx="5">
                    <c:v>215</c:v>
                  </c:pt>
                  <c:pt idx="6">
                    <c:v>235</c:v>
                  </c:pt>
                  <c:pt idx="7">
                    <c:v>0</c:v>
                  </c:pt>
                  <c:pt idx="8">
                    <c:v>400</c:v>
                  </c:pt>
                </c:numCache>
              </c:numRef>
            </c:minus>
            <c:spPr>
              <a:ln w="76200">
                <a:solidFill>
                  <a:schemeClr val="tx2">
                    <a:lumMod val="60000"/>
                    <a:lumOff val="40000"/>
                  </a:schemeClr>
                </a:solidFill>
                <a:headEnd w="lg" len="lg"/>
                <a:tailEnd w="lg" len="lg"/>
              </a:ln>
            </c:spPr>
          </c:errBars>
          <c:xVal>
            <c:numRef>
              <c:f>'Range Graph'!$A$6:$A$14</c:f>
              <c:numCache>
                <c:formatCode>General</c:formatCode>
                <c:ptCount val="9"/>
                <c:pt idx="0">
                  <c:v>216</c:v>
                </c:pt>
                <c:pt idx="1">
                  <c:v>298</c:v>
                </c:pt>
                <c:pt idx="2">
                  <c:v>595.5</c:v>
                </c:pt>
                <c:pt idx="3">
                  <c:v>641</c:v>
                </c:pt>
                <c:pt idx="4">
                  <c:v>790.5</c:v>
                </c:pt>
                <c:pt idx="5">
                  <c:v>874</c:v>
                </c:pt>
                <c:pt idx="6">
                  <c:v>926</c:v>
                </c:pt>
                <c:pt idx="7">
                  <c:v>991.5</c:v>
                </c:pt>
                <c:pt idx="8">
                  <c:v>1230</c:v>
                </c:pt>
              </c:numCache>
            </c:numRef>
          </c:xVal>
          <c:yVal>
            <c:numRef>
              <c:f>'Range Graph'!$D$6:$D$15</c:f>
              <c:numCache>
                <c:formatCode>General</c:formatCode>
                <c:ptCount val="10"/>
                <c:pt idx="0">
                  <c:v>600</c:v>
                </c:pt>
                <c:pt idx="1">
                  <c:v>616</c:v>
                </c:pt>
                <c:pt idx="2">
                  <c:v>553</c:v>
                </c:pt>
                <c:pt idx="3">
                  <c:v>590</c:v>
                </c:pt>
                <c:pt idx="4">
                  <c:v>590</c:v>
                </c:pt>
                <c:pt idx="5">
                  <c:v>775</c:v>
                </c:pt>
                <c:pt idx="6">
                  <c:v>735</c:v>
                </c:pt>
                <c:pt idx="7">
                  <c:v>990</c:v>
                </c:pt>
                <c:pt idx="8">
                  <c:v>1100</c:v>
                </c:pt>
              </c:numCache>
            </c:numRef>
          </c:yVal>
        </c:ser>
        <c:axId val="131905024"/>
        <c:axId val="132004480"/>
      </c:scatterChart>
      <c:valAx>
        <c:axId val="13190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200" b="1" i="0" u="none" strike="noStrike" baseline="0"/>
                  <a:t>Trip Flow Range (cfs) (Average Flow</a:t>
                </a:r>
                <a:r>
                  <a:rPr lang="en-US" sz="1600" b="1" i="0" u="none" strike="noStrike" baseline="0"/>
                  <a:t>)</a:t>
                </a:r>
                <a:endParaRPr lang="en-US" sz="1600"/>
              </a:p>
            </c:rich>
          </c:tx>
          <c:layout>
            <c:manualLayout>
              <c:xMode val="edge"/>
              <c:yMode val="edge"/>
              <c:x val="0.35366078019471486"/>
              <c:y val="0.95717769876798209"/>
            </c:manualLayout>
          </c:layout>
        </c:title>
        <c:numFmt formatCode="#,##0" sourceLinked="0"/>
        <c:tickLblPos val="nextTo"/>
        <c:txPr>
          <a:bodyPr rot="-5400000" vert="horz"/>
          <a:lstStyle/>
          <a:p>
            <a:pPr>
              <a:defRPr sz="1600"/>
            </a:pPr>
            <a:endParaRPr lang="en-US"/>
          </a:p>
        </c:txPr>
        <c:crossAx val="132004480"/>
        <c:crosses val="autoZero"/>
        <c:crossBetween val="midCat"/>
        <c:majorUnit val="100"/>
      </c:valAx>
      <c:valAx>
        <c:axId val="132004480"/>
        <c:scaling>
          <c:orientation val="minMax"/>
          <c:max val="1700"/>
          <c:min val="20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200" baseline="0"/>
                  <a:t> Put-in Flow (cfs) - Ellicott Bridge</a:t>
                </a:r>
                <a:endParaRPr lang="en-US" sz="1200"/>
              </a:p>
            </c:rich>
          </c:tx>
          <c:layout/>
        </c:title>
        <c:numFmt formatCode="#,##0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31905024"/>
        <c:crosses val="autoZero"/>
        <c:crossBetween val="midCat"/>
        <c:majorUnit val="100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157745046652026"/>
          <c:y val="0.11330481537178605"/>
          <c:w val="0.38695485166026994"/>
          <c:h val="5.7741769191151864E-2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0.19008</cdr:x>
      <cdr:y>0.61104</cdr:y>
    </cdr:from>
    <cdr:to>
      <cdr:x>0.27218</cdr:x>
      <cdr:y>0.67283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44651" y="3683000"/>
          <a:ext cx="710390" cy="3724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</a:t>
          </a:r>
          <a:endParaRPr lang="en-US" sz="1400"/>
        </a:p>
      </cdr:txBody>
    </cdr:sp>
  </cdr:relSizeAnchor>
  <cdr:relSizeAnchor xmlns:cdr="http://schemas.openxmlformats.org/drawingml/2006/chartDrawing">
    <cdr:from>
      <cdr:x>0.27644</cdr:x>
      <cdr:y>0.49305</cdr:y>
    </cdr:from>
    <cdr:to>
      <cdr:x>0.34273</cdr:x>
      <cdr:y>0.55336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391900" y="2971800"/>
          <a:ext cx="573550" cy="363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0.47049</cdr:x>
      <cdr:y>0.52753</cdr:y>
    </cdr:from>
    <cdr:to>
      <cdr:x>0.5231</cdr:x>
      <cdr:y>0.57341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32664" y="3628605"/>
          <a:ext cx="462147" cy="3155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0.50138</cdr:x>
      <cdr:y>0.56489</cdr:y>
    </cdr:from>
    <cdr:to>
      <cdr:x>0.5568</cdr:x>
      <cdr:y>0.61077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338234" y="3404845"/>
          <a:ext cx="479522" cy="2765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0.58491</cdr:x>
      <cdr:y>0.58997</cdr:y>
    </cdr:from>
    <cdr:to>
      <cdr:x>0.65486</cdr:x>
      <cdr:y>0.64816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060950" y="3556000"/>
          <a:ext cx="605242" cy="3507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  <cdr:relSizeAnchor xmlns:cdr="http://schemas.openxmlformats.org/drawingml/2006/chartDrawing">
    <cdr:from>
      <cdr:x>0.62307</cdr:x>
      <cdr:y>0.49041</cdr:y>
    </cdr:from>
    <cdr:to>
      <cdr:x>0.67769</cdr:x>
      <cdr:y>0.53629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391128" y="2955907"/>
          <a:ext cx="472601" cy="2765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0.87243</cdr:x>
      <cdr:y>0.08578</cdr:y>
    </cdr:from>
    <cdr:to>
      <cdr:x>0.9476</cdr:x>
      <cdr:y>0.13166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7548728" y="517061"/>
          <a:ext cx="650410" cy="2765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n=6</a:t>
          </a:r>
          <a:endParaRPr lang="en-US" sz="1400"/>
        </a:p>
      </cdr:txBody>
    </cdr:sp>
  </cdr:relSizeAnchor>
  <cdr:relSizeAnchor xmlns:cdr="http://schemas.openxmlformats.org/drawingml/2006/chartDrawing">
    <cdr:from>
      <cdr:x>0.6627</cdr:x>
      <cdr:y>0.40877</cdr:y>
    </cdr:from>
    <cdr:to>
      <cdr:x>0.73329</cdr:x>
      <cdr:y>0.48451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734050" y="2463800"/>
          <a:ext cx="610711" cy="456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n=15</a:t>
          </a:r>
          <a:endParaRPr lang="en-US" sz="1400"/>
        </a:p>
      </cdr:txBody>
    </cdr:sp>
  </cdr:relSizeAnchor>
  <cdr:relSizeAnchor xmlns:cdr="http://schemas.openxmlformats.org/drawingml/2006/chartDrawing">
    <cdr:from>
      <cdr:x>0.72896</cdr:x>
      <cdr:y>0.39706</cdr:y>
    </cdr:from>
    <cdr:to>
      <cdr:x>0.79615</cdr:x>
      <cdr:y>0.44294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307334" y="2393270"/>
          <a:ext cx="581362" cy="2765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6</cp:revision>
  <cp:lastPrinted>2011-10-12T19:51:00Z</cp:lastPrinted>
  <dcterms:created xsi:type="dcterms:W3CDTF">2011-09-12T21:20:00Z</dcterms:created>
  <dcterms:modified xsi:type="dcterms:W3CDTF">2011-10-12T19:51:00Z</dcterms:modified>
</cp:coreProperties>
</file>